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" type="tile"/>
    </v:background>
  </w:background>
  <w:body>
    <w:p w:rsidR="000E2AA5" w:rsidRPr="008E0521" w:rsidRDefault="000E2AA5" w:rsidP="004E350A">
      <w:pPr>
        <w:jc w:val="center"/>
        <w:rPr>
          <w:b/>
          <w:bCs/>
          <w:u w:val="single"/>
          <w:lang w:val="el-GR"/>
        </w:rPr>
      </w:pPr>
    </w:p>
    <w:p w:rsidR="000E2AA5" w:rsidRDefault="000E2AA5" w:rsidP="004E350A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8E0521">
        <w:rPr>
          <w:b/>
          <w:bCs/>
          <w:sz w:val="24"/>
          <w:szCs w:val="24"/>
          <w:u w:val="single"/>
          <w:lang w:val="el-GR"/>
        </w:rPr>
        <w:t>“ ΚΑΡΜΙΝΙΟ “ , το μέλλον της ως χρωστική για τρόφιμα ;</w:t>
      </w:r>
    </w:p>
    <w:p w:rsidR="000E2AA5" w:rsidRPr="008E0521" w:rsidRDefault="000E2AA5" w:rsidP="004E350A">
      <w:pPr>
        <w:jc w:val="center"/>
        <w:rPr>
          <w:b/>
          <w:bCs/>
          <w:sz w:val="24"/>
          <w:szCs w:val="24"/>
          <w:u w:val="single"/>
          <w:lang w:val="el-GR"/>
        </w:rPr>
      </w:pPr>
    </w:p>
    <w:p w:rsidR="000E2AA5" w:rsidRDefault="000E2AA5" w:rsidP="005644B6">
      <w:pPr>
        <w:rPr>
          <w:b/>
          <w:bCs/>
          <w:lang w:val="el-GR"/>
        </w:rPr>
      </w:pPr>
      <w:r>
        <w:rPr>
          <w:lang w:val="el-GR"/>
        </w:rPr>
        <w:t xml:space="preserve">Συντάκτης :  </w:t>
      </w:r>
      <w:r w:rsidRPr="00885CDE">
        <w:rPr>
          <w:b/>
          <w:bCs/>
          <w:lang w:val="el-GR"/>
        </w:rPr>
        <w:t xml:space="preserve">δρ. Β. Τσουκαλάς – Χημικός </w:t>
      </w:r>
    </w:p>
    <w:p w:rsidR="000E2AA5" w:rsidRDefault="000E2AA5" w:rsidP="005644B6">
      <w:pPr>
        <w:rPr>
          <w:lang w:val="el-GR"/>
        </w:rPr>
      </w:pPr>
      <w:r>
        <w:rPr>
          <w:b/>
          <w:bCs/>
          <w:lang w:val="el-GR"/>
        </w:rPr>
        <w:fldChar w:fldCharType="begin"/>
      </w:r>
      <w:r>
        <w:rPr>
          <w:b/>
          <w:bCs/>
          <w:lang w:val="el-GR"/>
        </w:rPr>
        <w:instrText xml:space="preserve"> TIME \@ "dddd, d MMMM yyyy" </w:instrText>
      </w:r>
      <w:r>
        <w:rPr>
          <w:b/>
          <w:bCs/>
          <w:lang w:val="el-GR"/>
        </w:rPr>
        <w:fldChar w:fldCharType="separate"/>
      </w:r>
      <w:r>
        <w:rPr>
          <w:b/>
          <w:bCs/>
          <w:noProof/>
          <w:lang w:val="el-GR"/>
        </w:rPr>
        <w:t>Παρασκευή, 2 Αυγούστου 2013</w:t>
      </w:r>
      <w:r>
        <w:rPr>
          <w:b/>
          <w:bCs/>
          <w:lang w:val="el-GR"/>
        </w:rPr>
        <w:fldChar w:fldCharType="end"/>
      </w:r>
    </w:p>
    <w:p w:rsidR="000E2AA5" w:rsidRPr="005644B6" w:rsidRDefault="000E2AA5" w:rsidP="005644B6">
      <w:pPr>
        <w:rPr>
          <w:lang w:val="el-GR"/>
        </w:rPr>
      </w:pPr>
      <w:r w:rsidRPr="004E350A">
        <w:rPr>
          <w:b/>
          <w:bCs/>
          <w:lang w:val="el-GR"/>
        </w:rPr>
        <w:t>Λέξεις κλειδιά</w:t>
      </w:r>
      <w:r w:rsidRPr="004E350A">
        <w:rPr>
          <w:lang w:val="el-GR"/>
        </w:rPr>
        <w:t xml:space="preserve"> : Πρόσθετα , Καρμίνιο , Ε120 , Ενωσιακή Νομοθεσία, Καν. (ΕΕ)  1169/2011</w:t>
      </w:r>
      <w:r>
        <w:rPr>
          <w:lang w:val="el-GR"/>
        </w:rPr>
        <w:t>, επανεκτίμηση έκθεσης , αλλεργιογόνος δράση .</w:t>
      </w:r>
    </w:p>
    <w:p w:rsidR="000E2AA5" w:rsidRDefault="000E2AA5" w:rsidP="00585CBA">
      <w:pPr>
        <w:rPr>
          <w:lang w:val="el-GR"/>
        </w:rPr>
      </w:pPr>
      <w:r>
        <w:rPr>
          <w:lang w:val="el-GR"/>
        </w:rPr>
        <w:t xml:space="preserve">Ενδιαφέρον </w:t>
      </w:r>
      <w:r w:rsidRPr="005644B6">
        <w:rPr>
          <w:lang w:val="el-GR"/>
        </w:rPr>
        <w:t xml:space="preserve"> προκαλεί για μια ακόμη φορά  ο Κανονισμός ( ΕΕ) 1129/2011  για τα πρόσθετα  τροφίμων . </w:t>
      </w:r>
    </w:p>
    <w:p w:rsidR="000E2AA5" w:rsidRPr="005644B6" w:rsidRDefault="000E2AA5" w:rsidP="00585CBA">
      <w:pPr>
        <w:spacing w:after="0" w:line="240" w:lineRule="auto"/>
        <w:rPr>
          <w:lang w:val="el-GR"/>
        </w:rPr>
      </w:pPr>
      <w:r w:rsidRPr="005644B6">
        <w:rPr>
          <w:lang w:val="el-GR"/>
        </w:rPr>
        <w:t xml:space="preserve">Από 1ης Ιουνίου , </w:t>
      </w:r>
      <w:r w:rsidRPr="00B6144A">
        <w:rPr>
          <w:color w:val="000000"/>
          <w:lang w:val="el-GR"/>
        </w:rPr>
        <w:t>ο</w:t>
      </w:r>
      <w:r>
        <w:rPr>
          <w:color w:val="E36C0A"/>
          <w:lang w:val="el-GR"/>
        </w:rPr>
        <w:t xml:space="preserve"> </w:t>
      </w:r>
      <w:r w:rsidRPr="00B6144A">
        <w:rPr>
          <w:color w:val="E36C0A"/>
          <w:lang w:val="el-GR"/>
        </w:rPr>
        <w:t xml:space="preserve"> </w:t>
      </w:r>
      <w:r w:rsidRPr="005644B6">
        <w:rPr>
          <w:lang w:val="el-GR"/>
        </w:rPr>
        <w:t>ΕΦΕΤ εφαρμόζε</w:t>
      </w:r>
      <w:r w:rsidRPr="00B6144A">
        <w:rPr>
          <w:color w:val="E36C0A"/>
          <w:lang w:val="el-GR"/>
        </w:rPr>
        <w:t>ι</w:t>
      </w:r>
      <w:r w:rsidRPr="005644B6">
        <w:rPr>
          <w:lang w:val="el-GR"/>
        </w:rPr>
        <w:t xml:space="preserve">  στο πλαίσιο του Προγράμματος Επισήμου Ελέγχου Ασφάλειας και Ποιότητας των Τροφίμων και σε συνεργασία με το Γενικό Χημείο του Κράτους, τ</w:t>
      </w:r>
      <w:r w:rsidRPr="00B6144A">
        <w:rPr>
          <w:color w:val="000000"/>
          <w:lang w:val="el-GR"/>
        </w:rPr>
        <w:t>α</w:t>
      </w:r>
      <w:r>
        <w:rPr>
          <w:lang w:val="el-GR"/>
        </w:rPr>
        <w:t xml:space="preserve"> </w:t>
      </w:r>
      <w:r w:rsidRPr="005644B6">
        <w:rPr>
          <w:lang w:val="el-GR"/>
        </w:rPr>
        <w:t>οριζόμεν</w:t>
      </w:r>
      <w:r>
        <w:rPr>
          <w:lang w:val="el-GR"/>
        </w:rPr>
        <w:t xml:space="preserve">α </w:t>
      </w:r>
      <w:r w:rsidRPr="005644B6">
        <w:rPr>
          <w:lang w:val="el-GR"/>
        </w:rPr>
        <w:t>στο  παράρτημα ΙΙ του εν λόγω Κανονισμού,  σ΄ότι αφορά  την χρήση των προσθέτων</w:t>
      </w:r>
      <w:r>
        <w:rPr>
          <w:lang w:val="el-GR"/>
        </w:rPr>
        <w:t xml:space="preserve"> </w:t>
      </w:r>
      <w:r w:rsidRPr="005644B6">
        <w:rPr>
          <w:lang w:val="el-GR"/>
        </w:rPr>
        <w:t xml:space="preserve">( </w:t>
      </w:r>
      <w:r w:rsidRPr="00B6144A">
        <w:rPr>
          <w:sz w:val="20"/>
          <w:szCs w:val="20"/>
          <w:lang w:val="el-GR"/>
        </w:rPr>
        <w:t>είδος και επιτρεπόμενα όρια</w:t>
      </w:r>
      <w:r w:rsidRPr="005644B6">
        <w:rPr>
          <w:lang w:val="el-GR"/>
        </w:rPr>
        <w:t xml:space="preserve"> )  ανά κατηγορία τροφίμων , όπως αυτές ταξινομούνται στον σχετικό ενωσιακό κατάλογο.Ο Κανονισμός  (ΕΚ) αριθ. 1333/2008 του Ευρωπαϊκού Κοινοβουλίου και του Συμβουλίου για τα πρόσθετα τροφίμων προβλέπει αξιολόγηση  </w:t>
      </w:r>
      <w:r>
        <w:rPr>
          <w:lang w:val="el-GR"/>
        </w:rPr>
        <w:t xml:space="preserve">από την </w:t>
      </w:r>
      <w:r w:rsidRPr="005644B6">
        <w:rPr>
          <w:lang w:val="el-GR"/>
        </w:rPr>
        <w:t xml:space="preserve"> Ευρωπαϊκή Αρχή για την Ασφάλεια των Τροφίμων (</w:t>
      </w:r>
      <w:r>
        <w:t>EFSA</w:t>
      </w:r>
      <w:r w:rsidRPr="005644B6">
        <w:rPr>
          <w:lang w:val="el-GR"/>
        </w:rPr>
        <w:t xml:space="preserve"> ), πριν από την  έγκρισή τους για χρήση. Επιπλέον</w:t>
      </w:r>
      <w:r>
        <w:rPr>
          <w:lang w:val="el-GR"/>
        </w:rPr>
        <w:t xml:space="preserve">, τα πρόσθετα </w:t>
      </w:r>
      <w:r w:rsidRPr="005644B6">
        <w:rPr>
          <w:lang w:val="el-GR"/>
        </w:rPr>
        <w:t xml:space="preserve"> πρέπει να υποβάλλονται σε συνεχή επιτήρηση καθώς και σε επαναξιολόγηση από την </w:t>
      </w:r>
      <w:r>
        <w:t>EFSA</w:t>
      </w:r>
      <w:r w:rsidRPr="005644B6">
        <w:rPr>
          <w:lang w:val="el-GR"/>
        </w:rPr>
        <w:t xml:space="preserve">. </w:t>
      </w:r>
    </w:p>
    <w:p w:rsidR="000E2AA5" w:rsidRPr="005644B6" w:rsidRDefault="000E2AA5" w:rsidP="00585CBA">
      <w:pPr>
        <w:spacing w:after="0" w:line="240" w:lineRule="auto"/>
        <w:rPr>
          <w:lang w:val="el-GR"/>
        </w:rPr>
      </w:pPr>
      <w:r w:rsidRPr="005644B6">
        <w:rPr>
          <w:lang w:val="el-GR"/>
        </w:rPr>
        <w:t>Για το σκοπό αυτό, στον  Κανονισμό  (ΕΕ) αριθ. 257/2010 της Επιτροπής της 25ης Μαρτίου 2010</w:t>
      </w:r>
      <w:r>
        <w:rPr>
          <w:lang w:val="el-GR"/>
        </w:rPr>
        <w:t>,</w:t>
      </w:r>
      <w:r w:rsidRPr="005644B6">
        <w:rPr>
          <w:lang w:val="el-GR"/>
        </w:rPr>
        <w:t xml:space="preserve"> προβλέπεται πρόγραμμα επανεκτίμησης των προσθέτων , σύμφωνα με το οποίο , όπου είναι αναγκαίο, επαναξιολογούνται υπό το πρίσμα μεταβαλλόμενων όρων χρήσης και νέων επιστημονικών στοιχείων. </w:t>
      </w:r>
    </w:p>
    <w:p w:rsidR="000E2AA5" w:rsidRPr="005644B6" w:rsidRDefault="000E2AA5" w:rsidP="00585CBA">
      <w:pPr>
        <w:spacing w:after="0" w:line="240" w:lineRule="auto"/>
        <w:rPr>
          <w:lang w:val="el-GR"/>
        </w:rPr>
      </w:pPr>
      <w:r>
        <w:rPr>
          <w:lang w:val="el-GR"/>
        </w:rPr>
        <w:t xml:space="preserve">Η επαναξιολόγηση θα πρέπει </w:t>
      </w:r>
      <w:r w:rsidRPr="005644B6">
        <w:rPr>
          <w:lang w:val="el-GR"/>
        </w:rPr>
        <w:t xml:space="preserve"> να διεξάγεται κατά ομάδα  προσθέτων σύμφωνα με την κύρια λειτουργική κατηγορία στην οποία ανήκουν. </w:t>
      </w:r>
    </w:p>
    <w:p w:rsidR="000E2AA5" w:rsidRPr="00B51E6F" w:rsidRDefault="000E2AA5" w:rsidP="00585CBA">
      <w:pPr>
        <w:spacing w:after="0" w:line="240" w:lineRule="auto"/>
        <w:rPr>
          <w:lang w:val="el-GR"/>
        </w:rPr>
      </w:pPr>
      <w:r w:rsidRPr="00585CBA">
        <w:rPr>
          <w:lang w:val="el-GR"/>
        </w:rPr>
        <w:t>Στην  27η  συνεδρίαση της Ολομέλειας της Ομάδας  για τα Πρόσθετα Τροφίμων και Πηγών διαθρεπτικών  ουσιών  τροφίμων (ANS) (</w:t>
      </w:r>
      <w:r w:rsidRPr="00585CBA">
        <w:rPr>
          <w:sz w:val="18"/>
          <w:szCs w:val="18"/>
          <w:lang w:val="el-GR"/>
        </w:rPr>
        <w:t>Πάρμα, 20-22 Σεπτεμβρίου 2011 , έγκριση 25η  Οκτωβρίου 2011 στην  28η συνεδρίαση, 7.3. E 120, Question  N° EFSA-Q-2011-00360</w:t>
      </w:r>
      <w:r w:rsidRPr="00585CBA">
        <w:rPr>
          <w:lang w:val="el-GR"/>
        </w:rPr>
        <w:t>), συζητήθηκαν  περιστατικά αλλεργικών αντιδράσεων,  έπειτα από κατανάλωση τροφίμων που</w:t>
      </w:r>
      <w:r w:rsidRPr="00B51E6F">
        <w:rPr>
          <w:lang w:val="el-GR"/>
        </w:rPr>
        <w:t xml:space="preserve"> περιείχαν την </w:t>
      </w:r>
      <w:r>
        <w:rPr>
          <w:lang w:val="el-GR"/>
        </w:rPr>
        <w:t xml:space="preserve"> χρωστική  Ε 120 ( κ</w:t>
      </w:r>
      <w:r w:rsidRPr="00B51E6F">
        <w:rPr>
          <w:lang w:val="el-GR"/>
        </w:rPr>
        <w:t xml:space="preserve">αρμίνιο )  </w:t>
      </w:r>
      <w:r>
        <w:rPr>
          <w:lang w:val="el-GR"/>
        </w:rPr>
        <w:t xml:space="preserve">και </w:t>
      </w:r>
      <w:r w:rsidRPr="00B51E6F">
        <w:rPr>
          <w:lang w:val="el-GR"/>
        </w:rPr>
        <w:t xml:space="preserve"> συνδέονταν</w:t>
      </w:r>
      <w:r>
        <w:rPr>
          <w:lang w:val="el-GR"/>
        </w:rPr>
        <w:t xml:space="preserve"> </w:t>
      </w:r>
      <w:r w:rsidRPr="00B51E6F">
        <w:rPr>
          <w:lang w:val="el-GR"/>
        </w:rPr>
        <w:t xml:space="preserve"> με  υπολείμματα πρωτεϊνών που περιέχοντ</w:t>
      </w:r>
      <w:r>
        <w:rPr>
          <w:lang w:val="el-GR"/>
        </w:rPr>
        <w:t>αν</w:t>
      </w:r>
      <w:r w:rsidRPr="00B51E6F">
        <w:rPr>
          <w:lang w:val="el-GR"/>
        </w:rPr>
        <w:t xml:space="preserve"> στα </w:t>
      </w:r>
      <w:r>
        <w:rPr>
          <w:lang w:val="el-GR"/>
        </w:rPr>
        <w:t xml:space="preserve">σκευάσματα </w:t>
      </w:r>
      <w:r w:rsidRPr="00B51E6F">
        <w:rPr>
          <w:lang w:val="el-GR"/>
        </w:rPr>
        <w:t xml:space="preserve"> καρμινίου . Το  συμπέρασμα ήταν ότι δεν  είναι δυνατό να </w:t>
      </w:r>
      <w:r>
        <w:rPr>
          <w:lang w:val="el-GR"/>
        </w:rPr>
        <w:t xml:space="preserve">καθοριστούν </w:t>
      </w:r>
      <w:r w:rsidRPr="00B51E6F">
        <w:rPr>
          <w:lang w:val="el-GR"/>
        </w:rPr>
        <w:t xml:space="preserve"> όρια  για τον  εν δυνάμει αλλεργι</w:t>
      </w:r>
      <w:r>
        <w:rPr>
          <w:lang w:val="el-GR"/>
        </w:rPr>
        <w:t xml:space="preserve">ογόνο παράγοντα ( </w:t>
      </w:r>
      <w:r w:rsidRPr="00762EE9">
        <w:rPr>
          <w:sz w:val="18"/>
          <w:szCs w:val="18"/>
          <w:lang w:val="el-GR"/>
        </w:rPr>
        <w:t>πρωτεϊνες</w:t>
      </w:r>
      <w:r>
        <w:rPr>
          <w:lang w:val="el-GR"/>
        </w:rPr>
        <w:t xml:space="preserve"> )</w:t>
      </w:r>
      <w:r w:rsidRPr="00B51E6F">
        <w:rPr>
          <w:lang w:val="el-GR"/>
        </w:rPr>
        <w:t>, επειδή</w:t>
      </w:r>
      <w:r>
        <w:rPr>
          <w:lang w:val="el-GR"/>
        </w:rPr>
        <w:t>,</w:t>
      </w:r>
      <w:r w:rsidRPr="00B51E6F">
        <w:rPr>
          <w:lang w:val="el-GR"/>
        </w:rPr>
        <w:t xml:space="preserve">  </w:t>
      </w:r>
      <w:r>
        <w:rPr>
          <w:lang w:val="el-GR"/>
        </w:rPr>
        <w:t xml:space="preserve">με το να περιοριστεί </w:t>
      </w:r>
      <w:r w:rsidRPr="00B51E6F">
        <w:rPr>
          <w:lang w:val="el-GR"/>
        </w:rPr>
        <w:t xml:space="preserve"> το μέγιστο επίπεδο υπολειμματικών πρωτεϊνών </w:t>
      </w:r>
      <w:r>
        <w:rPr>
          <w:lang w:val="el-GR"/>
        </w:rPr>
        <w:t xml:space="preserve">στα σκευάσματα , </w:t>
      </w:r>
      <w:r w:rsidRPr="00B51E6F">
        <w:rPr>
          <w:lang w:val="el-GR"/>
        </w:rPr>
        <w:t xml:space="preserve">δεν απαλείφεται  ο εν δυνάμει κίνδυνος.   </w:t>
      </w:r>
    </w:p>
    <w:p w:rsidR="000E2AA5" w:rsidRDefault="000E2AA5" w:rsidP="00585CBA">
      <w:pPr>
        <w:spacing w:after="0" w:line="240" w:lineRule="auto"/>
        <w:rPr>
          <w:lang w:val="el-GR"/>
        </w:rPr>
      </w:pPr>
      <w:r w:rsidRPr="00B51E6F">
        <w:rPr>
          <w:lang w:val="el-GR"/>
        </w:rPr>
        <w:t>Λόγω της αδυναμίας προσδιορισμού  ενός τέτοιου ορίου, αναγνωρίστηκε ότι η ενδεχόμενη αλλεργιογόνος δράση</w:t>
      </w:r>
      <w:r>
        <w:rPr>
          <w:lang w:val="el-GR"/>
        </w:rPr>
        <w:t xml:space="preserve">, </w:t>
      </w:r>
      <w:r w:rsidRPr="00B51E6F">
        <w:rPr>
          <w:lang w:val="el-GR"/>
        </w:rPr>
        <w:t xml:space="preserve"> δεν μπορεί να χρησιμοποιηθεί για τον καθορισμό μιας ασφαλούς Επιτρεπόμενης Ημερήσιας  Πρόσληψης ( ADI ) .</w:t>
      </w:r>
      <w:r>
        <w:rPr>
          <w:lang w:val="el-GR"/>
        </w:rPr>
        <w:t xml:space="preserve"> Ακόμη,  </w:t>
      </w:r>
      <w:r w:rsidRPr="00344C20">
        <w:rPr>
          <w:lang w:val="el-GR"/>
        </w:rPr>
        <w:t xml:space="preserve">ζητήθηκε η  γνώμη της Επιστημονικής Επιτροπής </w:t>
      </w:r>
      <w:r>
        <w:rPr>
          <w:lang w:val="el-GR"/>
        </w:rPr>
        <w:t xml:space="preserve"> </w:t>
      </w:r>
      <w:r w:rsidRPr="00344C20">
        <w:rPr>
          <w:lang w:val="el-GR"/>
        </w:rPr>
        <w:t xml:space="preserve">για το πώς θα πρέπει να  ληφθεί </w:t>
      </w:r>
      <w:r>
        <w:rPr>
          <w:lang w:val="el-GR"/>
        </w:rPr>
        <w:t>υπόψη</w:t>
      </w:r>
      <w:r w:rsidRPr="00344C20">
        <w:rPr>
          <w:lang w:val="el-GR"/>
        </w:rPr>
        <w:t xml:space="preserve"> ο κίνδυνος από μια  αλλεργιογόνο δράση  κατά την αξιολ</w:t>
      </w:r>
      <w:r>
        <w:rPr>
          <w:lang w:val="el-GR"/>
        </w:rPr>
        <w:t>όγηση της επικινδυνότητας  του κ</w:t>
      </w:r>
      <w:r w:rsidRPr="00344C20">
        <w:rPr>
          <w:lang w:val="el-GR"/>
        </w:rPr>
        <w:t>αρμινί</w:t>
      </w:r>
      <w:r>
        <w:rPr>
          <w:lang w:val="el-GR"/>
        </w:rPr>
        <w:t>ου και των συναφών ενώσεών του,. Γ</w:t>
      </w:r>
      <w:r w:rsidRPr="00344C20">
        <w:rPr>
          <w:lang w:val="el-GR"/>
        </w:rPr>
        <w:t xml:space="preserve">ενικότερα </w:t>
      </w:r>
      <w:r>
        <w:rPr>
          <w:lang w:val="el-GR"/>
        </w:rPr>
        <w:t xml:space="preserve">συζητήθηκε </w:t>
      </w:r>
      <w:r w:rsidRPr="00344C20">
        <w:rPr>
          <w:lang w:val="el-GR"/>
        </w:rPr>
        <w:t>το πώς μπορεί να αντιμετωπιστεί η πιθανότητα  εκδήλωσης  αλλεργίας σε μια αξιολόγηση ασφάλειας μιας χημικής ουσίας ή/και των προσμείξεών της .</w:t>
      </w:r>
      <w:r w:rsidRPr="00190293">
        <w:rPr>
          <w:lang w:val="el-GR"/>
        </w:rPr>
        <w:t xml:space="preserve"> </w:t>
      </w:r>
      <w:r>
        <w:rPr>
          <w:lang w:val="el-GR"/>
        </w:rPr>
        <w:t xml:space="preserve">Συμφωνήθηκε,  </w:t>
      </w:r>
      <w:r w:rsidRPr="00190293">
        <w:rPr>
          <w:lang w:val="el-GR"/>
        </w:rPr>
        <w:t xml:space="preserve"> </w:t>
      </w:r>
      <w:r>
        <w:rPr>
          <w:lang w:val="el-GR"/>
        </w:rPr>
        <w:t xml:space="preserve">ακόμη, ότι η  </w:t>
      </w:r>
      <w:r w:rsidRPr="00190293">
        <w:rPr>
          <w:lang w:val="el-GR"/>
        </w:rPr>
        <w:t xml:space="preserve">Ευρωπαϊκή Επιτροπή θα </w:t>
      </w:r>
      <w:r>
        <w:rPr>
          <w:lang w:val="el-GR"/>
        </w:rPr>
        <w:t>πρέπει να παρέξει στην</w:t>
      </w:r>
      <w:r w:rsidRPr="00190293">
        <w:rPr>
          <w:lang w:val="el-GR"/>
        </w:rPr>
        <w:t xml:space="preserve"> EFSA  πληροφορίες από άλλες περιπτώσεις όπου ένα πρόσθετο με υπολειμματικές αλλεργιογόνες ουσίες ,  έχει εγκριθεί  ως πρόσθετο τροφίμων.</w:t>
      </w:r>
    </w:p>
    <w:p w:rsidR="000E2AA5" w:rsidRDefault="000E2AA5" w:rsidP="00585CBA">
      <w:pPr>
        <w:spacing w:line="240" w:lineRule="auto"/>
        <w:rPr>
          <w:lang w:val="el-GR"/>
        </w:rPr>
      </w:pPr>
    </w:p>
    <w:p w:rsidR="000E2AA5" w:rsidRDefault="000E2AA5" w:rsidP="00585CBA">
      <w:pPr>
        <w:spacing w:line="240" w:lineRule="auto"/>
        <w:rPr>
          <w:lang w:val="el-GR"/>
        </w:rPr>
      </w:pPr>
    </w:p>
    <w:p w:rsidR="000E2AA5" w:rsidRDefault="000E2AA5" w:rsidP="00585CBA">
      <w:pPr>
        <w:spacing w:line="240" w:lineRule="auto"/>
        <w:rPr>
          <w:lang w:val="el-GR"/>
        </w:rPr>
      </w:pPr>
    </w:p>
    <w:p w:rsidR="000E2AA5" w:rsidRPr="005644B6" w:rsidRDefault="000E2AA5" w:rsidP="00585CBA">
      <w:pPr>
        <w:spacing w:after="0" w:line="240" w:lineRule="auto"/>
        <w:rPr>
          <w:lang w:val="el-GR"/>
        </w:rPr>
      </w:pPr>
      <w:r w:rsidRPr="00381D4E">
        <w:rPr>
          <w:lang w:val="el-GR"/>
        </w:rPr>
        <w:t xml:space="preserve">Τέλος </w:t>
      </w:r>
      <w:r>
        <w:rPr>
          <w:lang w:val="el-GR"/>
        </w:rPr>
        <w:t xml:space="preserve">συμφωνήθηκε ότι </w:t>
      </w:r>
      <w:r w:rsidRPr="00381D4E">
        <w:rPr>
          <w:lang w:val="el-GR"/>
        </w:rPr>
        <w:t>, θα πρέπει να υπάρξει επικοινωνία με  τα ενδιαφερόμενα μέρη και να κληθούν να παράσχουν πληροφορίες όσον αφορά τις επιπτώσεις που έχουν παρατηρηθεί  στον γενικ</w:t>
      </w:r>
      <w:r>
        <w:rPr>
          <w:lang w:val="el-GR"/>
        </w:rPr>
        <w:t>ό πληθυσμό και ιδίως στα παιδιά. Ε</w:t>
      </w:r>
      <w:r w:rsidRPr="00381D4E">
        <w:rPr>
          <w:lang w:val="el-GR"/>
        </w:rPr>
        <w:t xml:space="preserve">πίσης </w:t>
      </w:r>
      <w:r>
        <w:rPr>
          <w:lang w:val="el-GR"/>
        </w:rPr>
        <w:t xml:space="preserve">θα πρέπει να παρασχεθούν πληροφορίες </w:t>
      </w:r>
      <w:r w:rsidRPr="00381D4E">
        <w:rPr>
          <w:lang w:val="el-GR"/>
        </w:rPr>
        <w:t xml:space="preserve"> σχετικά με τη δυνατότητα να μειωθεί η περιεκτικότητα σε υπολειμματικές  πρωτεΐνες </w:t>
      </w:r>
      <w:r>
        <w:rPr>
          <w:lang w:val="el-GR"/>
        </w:rPr>
        <w:t xml:space="preserve">εν προκειμένω </w:t>
      </w:r>
      <w:r w:rsidRPr="00381D4E">
        <w:rPr>
          <w:lang w:val="el-GR"/>
        </w:rPr>
        <w:t>σε</w:t>
      </w:r>
      <w:r>
        <w:rPr>
          <w:lang w:val="el-GR"/>
        </w:rPr>
        <w:t xml:space="preserve"> καρμίνιο</w:t>
      </w:r>
      <w:r w:rsidRPr="00381D4E">
        <w:rPr>
          <w:lang w:val="el-GR"/>
        </w:rPr>
        <w:t xml:space="preserve"> . Προκειμένου να στηρ</w:t>
      </w:r>
      <w:r>
        <w:rPr>
          <w:lang w:val="el-GR"/>
        </w:rPr>
        <w:t xml:space="preserve">ιχθεί  η </w:t>
      </w:r>
      <w:r w:rsidRPr="00381D4E">
        <w:rPr>
          <w:lang w:val="el-GR"/>
        </w:rPr>
        <w:t xml:space="preserve"> εκτίμηση έκθεσης , τα ενδιαφερόμενα μέρη θα πρέπει να παράσχουν   επίσης </w:t>
      </w:r>
      <w:r>
        <w:rPr>
          <w:lang w:val="el-GR"/>
        </w:rPr>
        <w:t xml:space="preserve">πληροφορίες για </w:t>
      </w:r>
      <w:r w:rsidRPr="00381D4E">
        <w:rPr>
          <w:lang w:val="el-GR"/>
        </w:rPr>
        <w:t xml:space="preserve">επίπεδα χρήσης σύμφωνα με </w:t>
      </w:r>
      <w:r>
        <w:rPr>
          <w:lang w:val="el-GR"/>
        </w:rPr>
        <w:t xml:space="preserve">το </w:t>
      </w:r>
      <w:r w:rsidRPr="00381D4E">
        <w:rPr>
          <w:lang w:val="el-GR"/>
        </w:rPr>
        <w:t>νέο αλλά και το παλαιό σύστημα ταξινόμησης των τροφίμων.</w:t>
      </w:r>
    </w:p>
    <w:p w:rsidR="000E2AA5" w:rsidRPr="005644B6" w:rsidRDefault="000E2AA5" w:rsidP="00585CBA">
      <w:pPr>
        <w:ind w:right="-360"/>
        <w:rPr>
          <w:lang w:val="el-GR"/>
        </w:rPr>
      </w:pPr>
      <w:r w:rsidRPr="004C0943">
        <w:rPr>
          <w:lang w:val="el-GR"/>
        </w:rPr>
        <w:t xml:space="preserve">Η </w:t>
      </w:r>
      <w:r w:rsidRPr="004C0943">
        <w:rPr>
          <w:lang w:val="en-AU"/>
        </w:rPr>
        <w:t>EFSA</w:t>
      </w:r>
      <w:r w:rsidRPr="004C0943">
        <w:rPr>
          <w:lang w:val="el-GR"/>
        </w:rPr>
        <w:t xml:space="preserve"> έχει δρομολογήσει  εσωτερική διαδικασία  προετοιμασίας  για τον υπολογισμό της  έκθεσης  για  ορισμένες,  ήδη επαναξιολογημένες  χρωστικές τροφίμων,  στις οποίες περιλαμβάνεται και </w:t>
      </w:r>
      <w:r>
        <w:rPr>
          <w:lang w:val="el-GR"/>
        </w:rPr>
        <w:t xml:space="preserve">η </w:t>
      </w:r>
      <w:r w:rsidRPr="004C0943">
        <w:rPr>
          <w:lang w:val="el-GR"/>
        </w:rPr>
        <w:t xml:space="preserve">κοχενίλλη </w:t>
      </w:r>
      <w:r>
        <w:rPr>
          <w:lang w:val="el-GR"/>
        </w:rPr>
        <w:t xml:space="preserve">( καρμίνιο </w:t>
      </w:r>
      <w:r w:rsidRPr="004C0943">
        <w:rPr>
          <w:lang w:val="el-GR"/>
        </w:rPr>
        <w:t xml:space="preserve">, το καρμινικό οξύ και οι καρμίνες </w:t>
      </w:r>
      <w:r>
        <w:rPr>
          <w:lang w:val="el-GR"/>
        </w:rPr>
        <w:t>)</w:t>
      </w:r>
      <w:r w:rsidRPr="00037578">
        <w:rPr>
          <w:lang w:val="el-GR"/>
        </w:rPr>
        <w:t xml:space="preserve"> </w:t>
      </w:r>
      <w:r>
        <w:rPr>
          <w:lang w:val="el-GR"/>
        </w:rPr>
        <w:t xml:space="preserve">( </w:t>
      </w:r>
      <w:r w:rsidRPr="004C0943">
        <w:rPr>
          <w:lang w:val="el-GR"/>
        </w:rPr>
        <w:t>πίν</w:t>
      </w:r>
      <w:r>
        <w:rPr>
          <w:lang w:val="el-GR"/>
        </w:rPr>
        <w:t xml:space="preserve">. </w:t>
      </w:r>
      <w:r w:rsidRPr="004C0943">
        <w:rPr>
          <w:lang w:val="el-GR"/>
        </w:rPr>
        <w:t xml:space="preserve">1 </w:t>
      </w:r>
      <w:r w:rsidRPr="00037578">
        <w:rPr>
          <w:sz w:val="18"/>
          <w:szCs w:val="18"/>
          <w:lang w:val="en-AU"/>
        </w:rPr>
        <w:t>batch</w:t>
      </w:r>
      <w:r w:rsidRPr="00037578">
        <w:rPr>
          <w:sz w:val="18"/>
          <w:szCs w:val="18"/>
          <w:lang w:val="el-GR"/>
        </w:rPr>
        <w:t xml:space="preserve"> 2 – δεύτερη ομάδα προτεραιότητας , με στοιχεία  </w:t>
      </w:r>
      <w:r w:rsidRPr="00037578">
        <w:rPr>
          <w:sz w:val="18"/>
          <w:szCs w:val="18"/>
          <w:lang w:val="en-AU"/>
        </w:rPr>
        <w:t>M</w:t>
      </w:r>
      <w:r w:rsidRPr="00037578">
        <w:rPr>
          <w:sz w:val="18"/>
          <w:szCs w:val="18"/>
          <w:lang w:val="el-GR"/>
        </w:rPr>
        <w:t>-2011-0160/</w:t>
      </w:r>
      <w:r w:rsidRPr="00037578">
        <w:rPr>
          <w:sz w:val="18"/>
          <w:szCs w:val="18"/>
          <w:lang w:val="en-AU"/>
        </w:rPr>
        <w:t>EFSA</w:t>
      </w:r>
      <w:r w:rsidRPr="00037578">
        <w:rPr>
          <w:sz w:val="18"/>
          <w:szCs w:val="18"/>
          <w:lang w:val="el-GR"/>
        </w:rPr>
        <w:t>-</w:t>
      </w:r>
      <w:r w:rsidRPr="00037578">
        <w:rPr>
          <w:sz w:val="18"/>
          <w:szCs w:val="18"/>
          <w:lang w:val="en-AU"/>
        </w:rPr>
        <w:t>Q</w:t>
      </w:r>
      <w:r w:rsidRPr="00037578">
        <w:rPr>
          <w:sz w:val="18"/>
          <w:szCs w:val="18"/>
          <w:lang w:val="el-GR"/>
        </w:rPr>
        <w:t>-2011-00360</w:t>
      </w:r>
      <w:r w:rsidRPr="004C0943">
        <w:rPr>
          <w:lang w:val="el-GR"/>
        </w:rPr>
        <w:t>)</w:t>
      </w:r>
      <w:r>
        <w:rPr>
          <w:lang w:val="el-GR"/>
        </w:rPr>
        <w:t xml:space="preserve">. </w:t>
      </w:r>
      <w:r w:rsidRPr="004C0943">
        <w:rPr>
          <w:lang w:val="el-GR"/>
        </w:rPr>
        <w:t xml:space="preserve"> </w:t>
      </w:r>
      <w:r w:rsidRPr="005644B6">
        <w:rPr>
          <w:lang w:val="el-GR"/>
        </w:rPr>
        <w:t xml:space="preserve">Η πλήρης σειρά προτεραιότητας  επαναξιολόγησης  ήδη εγκεκριμένων προσθέτων παρατίθεται στο παράρτημα ΙΙ του παραπάνω Κανονισμού . </w:t>
      </w:r>
    </w:p>
    <w:p w:rsidR="000E2AA5" w:rsidRPr="004C0943" w:rsidRDefault="000E2AA5" w:rsidP="00585CBA">
      <w:pPr>
        <w:rPr>
          <w:lang w:val="el-GR"/>
        </w:rPr>
      </w:pPr>
      <w:r w:rsidRPr="004C0943">
        <w:rPr>
          <w:lang w:val="el-GR"/>
        </w:rPr>
        <w:t>Στα πλαίσια</w:t>
      </w:r>
      <w:r>
        <w:rPr>
          <w:lang w:val="el-GR"/>
        </w:rPr>
        <w:t xml:space="preserve"> του</w:t>
      </w:r>
      <w:r w:rsidRPr="004C0943">
        <w:rPr>
          <w:lang w:val="el-GR"/>
        </w:rPr>
        <w:t xml:space="preserve">  </w:t>
      </w:r>
      <w:r>
        <w:rPr>
          <w:lang w:val="el-GR"/>
        </w:rPr>
        <w:t xml:space="preserve">εν λόγω  </w:t>
      </w:r>
      <w:r w:rsidRPr="004C0943">
        <w:rPr>
          <w:lang w:val="el-GR"/>
        </w:rPr>
        <w:t>προγράμματος εργασίας επαναξιολόγησης για το 2013 και 2014 καλούνται οι ενδιαφερόμενοι ( συλλογικά όργανα της βιομηχανίας , αρχές , επιστημονικοί  φορείς ) να υποβάλλουν    στοιχεία   για  τη χρήση και το επίπεδο χρήσης</w:t>
      </w:r>
      <w:r>
        <w:rPr>
          <w:lang w:val="el-GR"/>
        </w:rPr>
        <w:t xml:space="preserve"> των προσθέτων </w:t>
      </w:r>
      <w:r w:rsidRPr="004C0943">
        <w:rPr>
          <w:lang w:val="el-GR"/>
        </w:rPr>
        <w:t xml:space="preserve"> , μεταξύ άλλων και  του </w:t>
      </w:r>
      <w:r>
        <w:rPr>
          <w:lang w:val="el-GR"/>
        </w:rPr>
        <w:t xml:space="preserve">Ε 120 </w:t>
      </w:r>
      <w:r w:rsidRPr="004C0943">
        <w:rPr>
          <w:lang w:val="el-GR"/>
        </w:rPr>
        <w:t xml:space="preserve">, που θα συνεκτιμηθούν </w:t>
      </w:r>
      <w:r>
        <w:rPr>
          <w:lang w:val="el-GR"/>
        </w:rPr>
        <w:t xml:space="preserve">στην επαναξιολόγηση </w:t>
      </w:r>
      <w:r w:rsidRPr="004C0943">
        <w:rPr>
          <w:lang w:val="el-GR"/>
        </w:rPr>
        <w:t xml:space="preserve"> του βαθμού   έκθεσης  </w:t>
      </w:r>
      <w:r>
        <w:rPr>
          <w:lang w:val="el-GR"/>
        </w:rPr>
        <w:t xml:space="preserve">των καταναλωτών </w:t>
      </w:r>
      <w:r w:rsidRPr="004C0943">
        <w:rPr>
          <w:lang w:val="el-GR"/>
        </w:rPr>
        <w:t>σ</w:t>
      </w:r>
      <w:r>
        <w:rPr>
          <w:lang w:val="el-GR"/>
        </w:rPr>
        <w:t>ε</w:t>
      </w:r>
      <w:r w:rsidRPr="004C0943">
        <w:rPr>
          <w:lang w:val="el-GR"/>
        </w:rPr>
        <w:t xml:space="preserve">  πιθανή αλλεργιογόνο δράση της εν λόγω χρωστικής. </w:t>
      </w:r>
    </w:p>
    <w:p w:rsidR="000E2AA5" w:rsidRPr="004C0943" w:rsidRDefault="000E2AA5" w:rsidP="00585CBA">
      <w:pPr>
        <w:rPr>
          <w:lang w:val="el-GR"/>
        </w:rPr>
      </w:pPr>
      <w:r w:rsidRPr="004C0943">
        <w:rPr>
          <w:lang w:val="el-GR"/>
        </w:rPr>
        <w:t xml:space="preserve">Ως καταληκτική ημερομηνία  υποβολής στοιχείων ορίζεται </w:t>
      </w:r>
      <w:r>
        <w:rPr>
          <w:lang w:val="el-GR"/>
        </w:rPr>
        <w:t xml:space="preserve">από τη Αρχή  </w:t>
      </w:r>
      <w:r w:rsidRPr="00425876">
        <w:rPr>
          <w:lang w:val="el-GR"/>
        </w:rPr>
        <w:t>(</w:t>
      </w:r>
      <w:r>
        <w:rPr>
          <w:lang w:val="en-AU"/>
        </w:rPr>
        <w:t>EFSA</w:t>
      </w:r>
      <w:r w:rsidRPr="00425876">
        <w:rPr>
          <w:lang w:val="el-GR"/>
        </w:rPr>
        <w:t xml:space="preserve"> ) </w:t>
      </w:r>
      <w:r>
        <w:rPr>
          <w:lang w:val="el-GR"/>
        </w:rPr>
        <w:t>η 30η Νοεμβρίου 2013</w:t>
      </w:r>
      <w:r w:rsidRPr="00425876">
        <w:rPr>
          <w:lang w:val="el-GR"/>
        </w:rPr>
        <w:t xml:space="preserve"> </w:t>
      </w:r>
      <w:r w:rsidRPr="004C0943">
        <w:rPr>
          <w:lang w:val="el-GR"/>
        </w:rPr>
        <w:t xml:space="preserve"> </w:t>
      </w:r>
      <w:r>
        <w:rPr>
          <w:lang w:val="el-GR"/>
        </w:rPr>
        <w:t xml:space="preserve">για την κατηγορία δεύτερης προτεραιότητας ( </w:t>
      </w:r>
      <w:r>
        <w:rPr>
          <w:lang w:val="en-AU"/>
        </w:rPr>
        <w:t>Batch</w:t>
      </w:r>
      <w:r w:rsidRPr="00425876">
        <w:rPr>
          <w:lang w:val="el-GR"/>
        </w:rPr>
        <w:t xml:space="preserve"> 2 ) . </w:t>
      </w:r>
      <w:r w:rsidRPr="004C0943">
        <w:rPr>
          <w:lang w:val="el-GR"/>
        </w:rPr>
        <w:t xml:space="preserve">Για την προπαρασκευή των  εκτιμήσεων  έκθεσης </w:t>
      </w:r>
      <w:r>
        <w:rPr>
          <w:lang w:val="el-GR"/>
        </w:rPr>
        <w:t xml:space="preserve">η Επιστημονική Ομάδα ορίζει ότι </w:t>
      </w:r>
      <w:r w:rsidRPr="004C0943">
        <w:rPr>
          <w:lang w:val="el-GR"/>
        </w:rPr>
        <w:t xml:space="preserve">θα  πρέπει </w:t>
      </w:r>
      <w:r>
        <w:rPr>
          <w:lang w:val="el-GR"/>
        </w:rPr>
        <w:t>θα</w:t>
      </w:r>
      <w:r w:rsidRPr="004C0943">
        <w:rPr>
          <w:lang w:val="el-GR"/>
        </w:rPr>
        <w:t xml:space="preserve">  λαμβάνονται υπόψη οι περιορισμοί/εξαιρέσεις που αναφέρονται στο Κανονισμό (ΕΕ) αριθ. 1129/2011 της 11ης  Νοεμβρίου 2011. </w:t>
      </w:r>
    </w:p>
    <w:tbl>
      <w:tblPr>
        <w:tblpPr w:leftFromText="180" w:rightFromText="180" w:vertAnchor="text" w:horzAnchor="margin" w:tblpY="271"/>
        <w:tblW w:w="994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211"/>
        <w:gridCol w:w="1611"/>
        <w:gridCol w:w="958"/>
        <w:gridCol w:w="2035"/>
        <w:gridCol w:w="2252"/>
        <w:gridCol w:w="1881"/>
      </w:tblGrid>
      <w:tr w:rsidR="000E2AA5" w:rsidRPr="00763E34">
        <w:trPr>
          <w:tblCellSpacing w:w="0" w:type="dxa"/>
        </w:trPr>
        <w:tc>
          <w:tcPr>
            <w:tcW w:w="1211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763E34">
              <w:rPr>
                <w:b/>
                <w:bCs/>
                <w:lang w:val="el-GR"/>
              </w:rPr>
              <w:t>Πίν</w:t>
            </w:r>
            <w:r w:rsidRPr="00763E34">
              <w:rPr>
                <w:b/>
                <w:bCs/>
              </w:rPr>
              <w:t xml:space="preserve">. </w:t>
            </w:r>
            <w:r w:rsidRPr="00763E34">
              <w:rPr>
                <w:b/>
                <w:bCs/>
                <w:lang w:val="el-GR"/>
              </w:rPr>
              <w:t xml:space="preserve">1 </w:t>
            </w:r>
          </w:p>
        </w:tc>
        <w:tc>
          <w:tcPr>
            <w:tcW w:w="8737" w:type="dxa"/>
            <w:gridSpan w:val="5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lang w:val="el-GR"/>
              </w:rPr>
            </w:pPr>
            <w:r w:rsidRPr="00763E34">
              <w:rPr>
                <w:lang w:val="el-GR"/>
              </w:rPr>
              <w:t xml:space="preserve">Σχέδιο προγράμματος εργασιών για την </w:t>
            </w:r>
            <w:r w:rsidRPr="00763E34">
              <w:rPr>
                <w:b/>
                <w:bCs/>
                <w:lang w:val="el-GR"/>
              </w:rPr>
              <w:t>επαναξιολόγηση προσθέτων</w:t>
            </w:r>
            <w:r w:rsidRPr="00763E34">
              <w:rPr>
                <w:lang w:val="el-GR"/>
              </w:rPr>
              <w:t xml:space="preserve">  το 2013 και 2014    </w:t>
            </w:r>
          </w:p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763E34">
              <w:rPr>
                <w:sz w:val="24"/>
                <w:szCs w:val="24"/>
                <w:lang w:val="el-GR"/>
              </w:rPr>
              <w:t xml:space="preserve">( </w:t>
            </w:r>
            <w:r w:rsidRPr="00763E34">
              <w:rPr>
                <w:sz w:val="20"/>
                <w:szCs w:val="20"/>
                <w:lang w:val="el-GR"/>
              </w:rPr>
              <w:t xml:space="preserve">απόσπασμα </w:t>
            </w:r>
            <w:r w:rsidRPr="00763E34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3E34">
              <w:rPr>
                <w:b/>
                <w:bCs/>
                <w:sz w:val="20"/>
                <w:szCs w:val="20"/>
              </w:rPr>
              <w:t>Batch</w:t>
            </w:r>
            <w:r w:rsidRPr="00763E34">
              <w:rPr>
                <w:b/>
                <w:bCs/>
                <w:sz w:val="20"/>
                <w:szCs w:val="20"/>
                <w:lang w:val="el-GR"/>
              </w:rPr>
              <w:t xml:space="preserve"> 2 </w:t>
            </w:r>
            <w:r w:rsidRPr="00763E34">
              <w:rPr>
                <w:b/>
                <w:bCs/>
                <w:sz w:val="24"/>
                <w:szCs w:val="24"/>
                <w:lang w:val="el-GR"/>
              </w:rPr>
              <w:t>)</w:t>
            </w:r>
          </w:p>
        </w:tc>
      </w:tr>
      <w:tr w:rsidR="000E2AA5" w:rsidRPr="00763E34">
        <w:trPr>
          <w:tblCellSpacing w:w="0" w:type="dxa"/>
        </w:trPr>
        <w:tc>
          <w:tcPr>
            <w:tcW w:w="9948" w:type="dxa"/>
            <w:gridSpan w:val="6"/>
            <w:shd w:val="clear" w:color="auto" w:fill="FFFFFF"/>
            <w:vAlign w:val="center"/>
          </w:tcPr>
          <w:p w:rsidR="000E2AA5" w:rsidRPr="00BB4CD1" w:rsidRDefault="000E2AA5" w:rsidP="0071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24CE2">
              <w:rPr>
                <w:lang w:val="el-GR"/>
              </w:rPr>
              <w:t xml:space="preserve">Παράρτημα ΙΙ του Καν.  </w:t>
            </w:r>
            <w:r w:rsidRPr="00763E34">
              <w:rPr>
                <w:shd w:val="clear" w:color="auto" w:fill="FFFFFF"/>
                <w:lang w:val="el-GR"/>
              </w:rPr>
              <w:t>(ΕΕ) αριθ. 257/2010</w:t>
            </w:r>
          </w:p>
        </w:tc>
      </w:tr>
      <w:tr w:rsidR="000E2AA5" w:rsidRPr="00763E34">
        <w:trPr>
          <w:tblCellSpacing w:w="0" w:type="dxa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5" w:rsidRPr="00763E34" w:rsidRDefault="000E2AA5" w:rsidP="0071720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763E34">
              <w:rPr>
                <w:rStyle w:val="Strong"/>
                <w:sz w:val="20"/>
                <w:szCs w:val="20"/>
                <w:lang w:val="el-GR"/>
              </w:rPr>
              <w:t>Ομάδα ουσιών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5" w:rsidRPr="00763E34" w:rsidRDefault="000E2AA5" w:rsidP="0071720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763E34">
              <w:rPr>
                <w:rStyle w:val="Strong"/>
                <w:sz w:val="20"/>
                <w:szCs w:val="20"/>
                <w:lang w:val="el-GR"/>
              </w:rPr>
              <w:t xml:space="preserve">Κώδικας  </w:t>
            </w:r>
            <w:r w:rsidRPr="00763E34">
              <w:rPr>
                <w:rStyle w:val="Strong"/>
                <w:sz w:val="20"/>
                <w:szCs w:val="20"/>
              </w:rPr>
              <w:t>SSD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5" w:rsidRPr="00763E34" w:rsidRDefault="000E2AA5" w:rsidP="0071720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763E34">
              <w:rPr>
                <w:rStyle w:val="Strong"/>
                <w:sz w:val="20"/>
                <w:szCs w:val="20"/>
              </w:rPr>
              <w:t xml:space="preserve">E </w:t>
            </w:r>
            <w:r w:rsidRPr="00763E34">
              <w:rPr>
                <w:rStyle w:val="Strong"/>
                <w:sz w:val="20"/>
                <w:szCs w:val="20"/>
                <w:lang w:val="el-GR"/>
              </w:rPr>
              <w:t>-κωδικός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5" w:rsidRPr="00763E34" w:rsidRDefault="000E2AA5" w:rsidP="0071720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763E34">
              <w:rPr>
                <w:rStyle w:val="Strong"/>
                <w:sz w:val="20"/>
                <w:szCs w:val="20"/>
                <w:lang w:val="el-GR"/>
              </w:rPr>
              <w:t>Χρωστική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5" w:rsidRPr="00763E34" w:rsidRDefault="000E2AA5" w:rsidP="0071720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763E34">
              <w:rPr>
                <w:rStyle w:val="Strong"/>
                <w:sz w:val="20"/>
                <w:szCs w:val="20"/>
                <w:lang w:val="el-GR"/>
              </w:rPr>
              <w:t xml:space="preserve">Αριθμός εντολής </w:t>
            </w:r>
            <w:r w:rsidRPr="00763E34">
              <w:rPr>
                <w:rStyle w:val="Strong"/>
                <w:sz w:val="20"/>
                <w:szCs w:val="20"/>
              </w:rPr>
              <w:t>/</w:t>
            </w:r>
            <w:r w:rsidRPr="00763E34">
              <w:rPr>
                <w:rStyle w:val="Strong"/>
                <w:sz w:val="20"/>
                <w:szCs w:val="20"/>
                <w:lang w:val="el-GR"/>
              </w:rPr>
              <w:t>αριθμός ερώτησης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5" w:rsidRPr="00763E34" w:rsidRDefault="000E2AA5" w:rsidP="0071720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763E34">
              <w:rPr>
                <w:rStyle w:val="Strong"/>
                <w:sz w:val="20"/>
                <w:szCs w:val="20"/>
                <w:lang w:val="el-GR"/>
              </w:rPr>
              <w:t>Καταληκτική ημερομηνία υποβολής στοιχείων</w:t>
            </w:r>
          </w:p>
        </w:tc>
      </w:tr>
      <w:tr w:rsidR="000E2AA5" w:rsidRPr="00763E34">
        <w:trPr>
          <w:tblCellSpacing w:w="0" w:type="dxa"/>
        </w:trPr>
        <w:tc>
          <w:tcPr>
            <w:tcW w:w="1211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E34">
              <w:rPr>
                <w:sz w:val="20"/>
                <w:szCs w:val="20"/>
              </w:rPr>
              <w:t>Batch 2</w:t>
            </w:r>
          </w:p>
        </w:tc>
        <w:tc>
          <w:tcPr>
            <w:tcW w:w="1611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E34">
              <w:rPr>
                <w:sz w:val="18"/>
                <w:szCs w:val="18"/>
              </w:rPr>
              <w:t>RF-00000260-ADD</w:t>
            </w:r>
          </w:p>
        </w:tc>
        <w:tc>
          <w:tcPr>
            <w:tcW w:w="958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3E34">
              <w:rPr>
                <w:sz w:val="16"/>
                <w:szCs w:val="16"/>
              </w:rPr>
              <w:t>E 104</w:t>
            </w:r>
          </w:p>
        </w:tc>
        <w:tc>
          <w:tcPr>
            <w:tcW w:w="2035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sz w:val="20"/>
                <w:szCs w:val="20"/>
              </w:rPr>
            </w:pPr>
            <w:r w:rsidRPr="00763E34">
              <w:rPr>
                <w:sz w:val="18"/>
                <w:szCs w:val="18"/>
              </w:rPr>
              <w:t>Quinoline yellow</w:t>
            </w:r>
          </w:p>
        </w:tc>
        <w:tc>
          <w:tcPr>
            <w:tcW w:w="2252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E34">
              <w:rPr>
                <w:sz w:val="18"/>
                <w:szCs w:val="18"/>
              </w:rPr>
              <w:t>M-2012-0247/EFSA-Q-2012-00888</w:t>
            </w:r>
          </w:p>
        </w:tc>
        <w:tc>
          <w:tcPr>
            <w:tcW w:w="1881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sz w:val="18"/>
                <w:szCs w:val="18"/>
              </w:rPr>
            </w:pPr>
            <w:r w:rsidRPr="00763E34">
              <w:rPr>
                <w:sz w:val="18"/>
                <w:szCs w:val="18"/>
              </w:rPr>
              <w:t>30 November 2013</w:t>
            </w:r>
          </w:p>
        </w:tc>
      </w:tr>
      <w:tr w:rsidR="000E2AA5" w:rsidRPr="00763E34">
        <w:trPr>
          <w:tblCellSpacing w:w="0" w:type="dxa"/>
        </w:trPr>
        <w:tc>
          <w:tcPr>
            <w:tcW w:w="1211" w:type="dxa"/>
            <w:vAlign w:val="center"/>
          </w:tcPr>
          <w:p w:rsidR="000E2AA5" w:rsidRPr="00921FF7" w:rsidRDefault="000E2AA5" w:rsidP="0071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1" w:type="dxa"/>
            <w:vAlign w:val="center"/>
          </w:tcPr>
          <w:p w:rsidR="000E2AA5" w:rsidRPr="003A1876" w:rsidRDefault="000E2AA5" w:rsidP="00717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3F">
              <w:rPr>
                <w:sz w:val="18"/>
                <w:szCs w:val="18"/>
              </w:rPr>
              <w:t>RF-00000326-ADD</w:t>
            </w:r>
          </w:p>
        </w:tc>
        <w:tc>
          <w:tcPr>
            <w:tcW w:w="958" w:type="dxa"/>
            <w:vAlign w:val="center"/>
          </w:tcPr>
          <w:p w:rsidR="000E2AA5" w:rsidRPr="00A85F3F" w:rsidRDefault="000E2AA5" w:rsidP="00717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5F3F">
              <w:rPr>
                <w:sz w:val="16"/>
                <w:szCs w:val="16"/>
              </w:rPr>
              <w:t>E 110</w:t>
            </w:r>
          </w:p>
        </w:tc>
        <w:tc>
          <w:tcPr>
            <w:tcW w:w="2035" w:type="dxa"/>
            <w:vAlign w:val="center"/>
          </w:tcPr>
          <w:p w:rsidR="000E2AA5" w:rsidRPr="003A1876" w:rsidRDefault="000E2AA5" w:rsidP="00717205">
            <w:pPr>
              <w:spacing w:after="0" w:line="240" w:lineRule="auto"/>
              <w:rPr>
                <w:sz w:val="20"/>
                <w:szCs w:val="20"/>
              </w:rPr>
            </w:pPr>
            <w:r w:rsidRPr="003A1876">
              <w:rPr>
                <w:sz w:val="20"/>
                <w:szCs w:val="20"/>
              </w:rPr>
              <w:t>Sunset Yellow</w:t>
            </w:r>
          </w:p>
        </w:tc>
        <w:tc>
          <w:tcPr>
            <w:tcW w:w="2252" w:type="dxa"/>
            <w:vAlign w:val="center"/>
          </w:tcPr>
          <w:p w:rsidR="000E2AA5" w:rsidRPr="00A85F3F" w:rsidRDefault="000E2AA5" w:rsidP="00717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5F3F">
              <w:rPr>
                <w:sz w:val="18"/>
                <w:szCs w:val="18"/>
              </w:rPr>
              <w:t>M-2012-0247/EFSA-Q-2012-00889</w:t>
            </w:r>
          </w:p>
        </w:tc>
        <w:tc>
          <w:tcPr>
            <w:tcW w:w="1881" w:type="dxa"/>
            <w:vAlign w:val="center"/>
          </w:tcPr>
          <w:p w:rsidR="000E2AA5" w:rsidRPr="00A85F3F" w:rsidRDefault="000E2AA5" w:rsidP="00717205">
            <w:pPr>
              <w:spacing w:after="0" w:line="240" w:lineRule="auto"/>
              <w:rPr>
                <w:sz w:val="18"/>
                <w:szCs w:val="18"/>
              </w:rPr>
            </w:pPr>
            <w:r w:rsidRPr="00A85F3F">
              <w:rPr>
                <w:sz w:val="18"/>
                <w:szCs w:val="18"/>
              </w:rPr>
              <w:t>30 November 2013</w:t>
            </w:r>
          </w:p>
        </w:tc>
      </w:tr>
      <w:tr w:rsidR="000E2AA5" w:rsidRPr="00763E34">
        <w:trPr>
          <w:tblCellSpacing w:w="0" w:type="dxa"/>
        </w:trPr>
        <w:tc>
          <w:tcPr>
            <w:tcW w:w="1211" w:type="dxa"/>
            <w:shd w:val="clear" w:color="auto" w:fill="CCFFCC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b/>
                <w:bCs/>
              </w:rPr>
            </w:pPr>
            <w:r w:rsidRPr="00763E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1" w:type="dxa"/>
            <w:shd w:val="clear" w:color="auto" w:fill="CCFFCC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b/>
                <w:bCs/>
              </w:rPr>
            </w:pPr>
            <w:r w:rsidRPr="00763E34">
              <w:rPr>
                <w:b/>
                <w:bCs/>
              </w:rPr>
              <w:t>RF-00000105-ADD</w:t>
            </w:r>
          </w:p>
        </w:tc>
        <w:tc>
          <w:tcPr>
            <w:tcW w:w="958" w:type="dxa"/>
            <w:shd w:val="clear" w:color="auto" w:fill="CCFFCC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b/>
                <w:bCs/>
              </w:rPr>
            </w:pPr>
            <w:r w:rsidRPr="00763E34">
              <w:rPr>
                <w:b/>
                <w:bCs/>
              </w:rPr>
              <w:t>E 120</w:t>
            </w:r>
          </w:p>
        </w:tc>
        <w:tc>
          <w:tcPr>
            <w:tcW w:w="2035" w:type="dxa"/>
            <w:shd w:val="clear" w:color="auto" w:fill="CCFFCC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b/>
                <w:bCs/>
              </w:rPr>
            </w:pPr>
            <w:r w:rsidRPr="00763E34">
              <w:rPr>
                <w:b/>
                <w:bCs/>
              </w:rPr>
              <w:t>Cochineal, Carminic acid, Carmines</w:t>
            </w:r>
          </w:p>
        </w:tc>
        <w:tc>
          <w:tcPr>
            <w:tcW w:w="2252" w:type="dxa"/>
            <w:shd w:val="clear" w:color="auto" w:fill="CCFFCC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b/>
                <w:bCs/>
              </w:rPr>
            </w:pPr>
            <w:r w:rsidRPr="00763E34">
              <w:rPr>
                <w:b/>
                <w:bCs/>
              </w:rPr>
              <w:t>M-2011-0160/EFSA-Q-2011-00360</w:t>
            </w:r>
          </w:p>
        </w:tc>
        <w:tc>
          <w:tcPr>
            <w:tcW w:w="1881" w:type="dxa"/>
            <w:shd w:val="clear" w:color="auto" w:fill="CCFFCC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b/>
                <w:bCs/>
              </w:rPr>
            </w:pPr>
            <w:r w:rsidRPr="00763E34">
              <w:rPr>
                <w:b/>
                <w:bCs/>
              </w:rPr>
              <w:t>30 November 2013</w:t>
            </w:r>
          </w:p>
        </w:tc>
      </w:tr>
      <w:tr w:rsidR="000E2AA5" w:rsidRPr="00763E34">
        <w:trPr>
          <w:tblCellSpacing w:w="0" w:type="dxa"/>
        </w:trPr>
        <w:tc>
          <w:tcPr>
            <w:tcW w:w="1211" w:type="dxa"/>
            <w:vAlign w:val="center"/>
          </w:tcPr>
          <w:p w:rsidR="000E2AA5" w:rsidRPr="00921FF7" w:rsidRDefault="000E2AA5" w:rsidP="0071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1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E34">
              <w:rPr>
                <w:sz w:val="18"/>
                <w:szCs w:val="18"/>
              </w:rPr>
              <w:t>RF-00000228-ADD</w:t>
            </w:r>
          </w:p>
        </w:tc>
        <w:tc>
          <w:tcPr>
            <w:tcW w:w="958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E34">
              <w:rPr>
                <w:sz w:val="18"/>
                <w:szCs w:val="18"/>
              </w:rPr>
              <w:t>E 124</w:t>
            </w:r>
          </w:p>
        </w:tc>
        <w:tc>
          <w:tcPr>
            <w:tcW w:w="2035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sz w:val="18"/>
                <w:szCs w:val="18"/>
              </w:rPr>
            </w:pPr>
            <w:r w:rsidRPr="00763E34">
              <w:rPr>
                <w:sz w:val="18"/>
                <w:szCs w:val="18"/>
              </w:rPr>
              <w:t>Ponceau 4R</w:t>
            </w:r>
          </w:p>
        </w:tc>
        <w:tc>
          <w:tcPr>
            <w:tcW w:w="2252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E34">
              <w:rPr>
                <w:sz w:val="18"/>
                <w:szCs w:val="18"/>
              </w:rPr>
              <w:t>M-2012-0247/EFSA-Q-2012-00890</w:t>
            </w:r>
          </w:p>
        </w:tc>
        <w:tc>
          <w:tcPr>
            <w:tcW w:w="1881" w:type="dxa"/>
            <w:vAlign w:val="center"/>
          </w:tcPr>
          <w:p w:rsidR="000E2AA5" w:rsidRPr="00763E34" w:rsidRDefault="000E2AA5" w:rsidP="00717205">
            <w:pPr>
              <w:spacing w:after="0" w:line="240" w:lineRule="auto"/>
              <w:rPr>
                <w:sz w:val="18"/>
                <w:szCs w:val="18"/>
              </w:rPr>
            </w:pPr>
            <w:r w:rsidRPr="00763E34">
              <w:rPr>
                <w:sz w:val="18"/>
                <w:szCs w:val="18"/>
              </w:rPr>
              <w:t>30 November 2013</w:t>
            </w:r>
          </w:p>
        </w:tc>
      </w:tr>
    </w:tbl>
    <w:p w:rsidR="000E2AA5" w:rsidRDefault="000E2AA5" w:rsidP="00585CBA">
      <w:pPr>
        <w:rPr>
          <w:lang w:val="el-GR"/>
        </w:rPr>
      </w:pPr>
      <w:bookmarkStart w:id="0" w:name="_GoBack"/>
      <w:bookmarkEnd w:id="0"/>
    </w:p>
    <w:p w:rsidR="000E2AA5" w:rsidRDefault="000E2AA5" w:rsidP="00585CBA">
      <w:pPr>
        <w:rPr>
          <w:lang w:val="el-GR"/>
        </w:rPr>
      </w:pPr>
      <w:r>
        <w:rPr>
          <w:lang w:val="el-GR"/>
        </w:rPr>
        <w:t xml:space="preserve">Από τα παραπάνω </w:t>
      </w:r>
      <w:r w:rsidRPr="004C0943">
        <w:rPr>
          <w:lang w:val="el-GR"/>
        </w:rPr>
        <w:t xml:space="preserve"> , διαδικαστικά τουλάχιστο, </w:t>
      </w:r>
      <w:r>
        <w:rPr>
          <w:lang w:val="el-GR"/>
        </w:rPr>
        <w:t xml:space="preserve">φαίνεται </w:t>
      </w:r>
      <w:r w:rsidRPr="004C0943">
        <w:rPr>
          <w:lang w:val="el-GR"/>
        </w:rPr>
        <w:t xml:space="preserve"> ότι  παρέχεται η δυνατότητα συμμετοχής στην  επανεκτίμηση της  έκθεσης  της επίμαχης χρωστικής ( Ε 120 ), όχι μόνο για λόγους αποσαφήνισης του ερωτήματος που αφορά στην εξαίρεση των προϊόντων από τεμάχια κρέατος από την κατηγορία των προϊόντων στα οποία επιτρέπεται η χρήση της </w:t>
      </w:r>
      <w:r>
        <w:rPr>
          <w:lang w:val="el-GR"/>
        </w:rPr>
        <w:t xml:space="preserve">, </w:t>
      </w:r>
      <w:r w:rsidRPr="004C0943">
        <w:rPr>
          <w:lang w:val="el-GR"/>
        </w:rPr>
        <w:t xml:space="preserve"> αλλά </w:t>
      </w:r>
      <w:r>
        <w:rPr>
          <w:lang w:val="el-GR"/>
        </w:rPr>
        <w:t xml:space="preserve">ακόμη </w:t>
      </w:r>
      <w:r w:rsidRPr="004C0943">
        <w:rPr>
          <w:lang w:val="el-GR"/>
        </w:rPr>
        <w:t>και για λόγους κατοχύρωσης του  “κεκτημένου” χρήσης στις προβλεπόμενες κατηγορίες προϊόντων</w:t>
      </w:r>
      <w:r>
        <w:rPr>
          <w:lang w:val="el-GR"/>
        </w:rPr>
        <w:t xml:space="preserve"> (</w:t>
      </w:r>
      <w:r w:rsidRPr="00CE447A">
        <w:rPr>
          <w:lang w:val="el-GR"/>
        </w:rPr>
        <w:t>08</w:t>
      </w:r>
      <w:r>
        <w:rPr>
          <w:lang w:val="el-GR"/>
        </w:rPr>
        <w:t xml:space="preserve"> κρέας – 08.1 / 08.1.1 / 08.1.2 / - </w:t>
      </w:r>
      <w:r w:rsidRPr="00CE447A">
        <w:rPr>
          <w:lang w:val="el-GR"/>
        </w:rPr>
        <w:t>08.2</w:t>
      </w:r>
      <w:r>
        <w:rPr>
          <w:lang w:val="el-GR"/>
        </w:rPr>
        <w:t>/ 08.2.1 / 08.2.2 / 08.2.3 ) του παραρτήματος ΙΙ του Καν. ( ΕΕ ) 1129/2011.</w:t>
      </w:r>
    </w:p>
    <w:p w:rsidR="000E2AA5" w:rsidRPr="00D24CE2" w:rsidRDefault="000E2AA5" w:rsidP="00585CBA">
      <w:pPr>
        <w:rPr>
          <w:lang w:val="el-GR"/>
        </w:rPr>
      </w:pPr>
    </w:p>
    <w:p w:rsidR="000E2AA5" w:rsidRPr="00D24CE2" w:rsidRDefault="000E2AA5" w:rsidP="00D24CE2">
      <w:pPr>
        <w:rPr>
          <w:lang w:val="el-GR"/>
        </w:rPr>
      </w:pPr>
    </w:p>
    <w:p w:rsidR="000E2AA5" w:rsidRDefault="000E2AA5" w:rsidP="00D24CE2">
      <w:pPr>
        <w:rPr>
          <w:lang w:val="el-GR"/>
        </w:rPr>
      </w:pPr>
    </w:p>
    <w:p w:rsidR="000E2AA5" w:rsidRDefault="000E2AA5" w:rsidP="00D24CE2">
      <w:pPr>
        <w:rPr>
          <w:lang w:val="el-GR"/>
        </w:rPr>
      </w:pPr>
    </w:p>
    <w:p w:rsidR="000E2AA5" w:rsidRDefault="000E2AA5" w:rsidP="00D24CE2">
      <w:pPr>
        <w:rPr>
          <w:lang w:val="el-GR"/>
        </w:rPr>
      </w:pPr>
    </w:p>
    <w:p w:rsidR="000E2AA5" w:rsidRDefault="000E2AA5" w:rsidP="00D24CE2">
      <w:pPr>
        <w:rPr>
          <w:lang w:val="el-GR"/>
        </w:rPr>
      </w:pPr>
    </w:p>
    <w:p w:rsidR="000E2AA5" w:rsidRDefault="000E2AA5" w:rsidP="00D24CE2">
      <w:pPr>
        <w:rPr>
          <w:lang w:val="el-GR"/>
        </w:rPr>
      </w:pPr>
    </w:p>
    <w:p w:rsidR="000E2AA5" w:rsidRDefault="000E2AA5" w:rsidP="00D24CE2">
      <w:pPr>
        <w:rPr>
          <w:lang w:val="el-GR"/>
        </w:rPr>
      </w:pPr>
    </w:p>
    <w:p w:rsidR="000E2AA5" w:rsidRDefault="000E2AA5" w:rsidP="00D24CE2">
      <w:pPr>
        <w:rPr>
          <w:lang w:val="el-GR"/>
        </w:rPr>
      </w:pPr>
    </w:p>
    <w:p w:rsidR="000E2AA5" w:rsidRPr="004C0943" w:rsidRDefault="000E2AA5">
      <w:pPr>
        <w:rPr>
          <w:lang w:val="el-GR"/>
        </w:rPr>
      </w:pPr>
    </w:p>
    <w:sectPr w:rsidR="000E2AA5" w:rsidRPr="004C0943" w:rsidSect="00BB4CD1">
      <w:headerReference w:type="default" r:id="rId7"/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A5" w:rsidRDefault="000E2AA5" w:rsidP="004C0943">
      <w:pPr>
        <w:spacing w:after="0" w:line="240" w:lineRule="auto"/>
      </w:pPr>
      <w:r>
        <w:separator/>
      </w:r>
    </w:p>
  </w:endnote>
  <w:endnote w:type="continuationSeparator" w:id="0">
    <w:p w:rsidR="000E2AA5" w:rsidRDefault="000E2AA5" w:rsidP="004C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A5" w:rsidRDefault="000E2AA5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E2AA5" w:rsidRPr="007B4558" w:rsidRDefault="000E2AA5">
    <w:pPr>
      <w:pStyle w:val="Footer"/>
      <w:rPr>
        <w:i/>
        <w:iCs/>
        <w:color w:val="E36C0A"/>
        <w:sz w:val="18"/>
        <w:szCs w:val="18"/>
        <w:lang w:val="el-GR"/>
      </w:rPr>
    </w:pPr>
    <w:r w:rsidRPr="007B4558">
      <w:rPr>
        <w:i/>
        <w:iCs/>
        <w:color w:val="E36C0A"/>
        <w:sz w:val="18"/>
        <w:szCs w:val="18"/>
        <w:lang w:val="el-GR"/>
      </w:rPr>
      <w:t xml:space="preserve">Το περιεχόμενο του παρόντος και της ιστοσελίδας μας έχει αποκλειστικά πληροφοριακό χαρακτήρα και δεν υπέχει θέση παροχής συμβουλευτικών υπηρεσιών. Η υιοθέτηση των παρεχομένων πληροφοριών καθώς και κάθε είδους επιστημονικών / τεχνικών και λοιπών θέσεων  του συντάκτη ή και άλλων συντακτών επαφίεται στην κρίση του αναγνώστη και δεν δεσμεύει τον διαχειριστή της 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A5" w:rsidRDefault="000E2AA5" w:rsidP="004C0943">
      <w:pPr>
        <w:spacing w:after="0" w:line="240" w:lineRule="auto"/>
      </w:pPr>
      <w:r>
        <w:separator/>
      </w:r>
    </w:p>
  </w:footnote>
  <w:footnote w:type="continuationSeparator" w:id="0">
    <w:p w:rsidR="000E2AA5" w:rsidRDefault="000E2AA5" w:rsidP="004C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A5" w:rsidRDefault="000E2AA5" w:rsidP="00160EDC">
    <w:pPr>
      <w:pStyle w:val="Header"/>
      <w:jc w:val="cent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18798" o:spid="_x0000_s2049" type="#_x0000_t75" style="position:absolute;left:0;text-align:left;margin-left:0;margin-top:0;width:112.5pt;height:47.6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763E34">
      <w:rPr>
        <w:noProof/>
        <w:lang w:val="el-GR" w:eastAsia="el-GR"/>
      </w:rPr>
      <w:pict>
        <v:shape id="Picture 1" o:spid="_x0000_i1026" type="#_x0000_t75" style="width:364.5pt;height:71.2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4B6"/>
    <w:rsid w:val="000249CA"/>
    <w:rsid w:val="00037578"/>
    <w:rsid w:val="000A31E5"/>
    <w:rsid w:val="000A4698"/>
    <w:rsid w:val="000C11A4"/>
    <w:rsid w:val="000C164F"/>
    <w:rsid w:val="000E2AA5"/>
    <w:rsid w:val="000F18C1"/>
    <w:rsid w:val="00160EDC"/>
    <w:rsid w:val="00160F2C"/>
    <w:rsid w:val="00190293"/>
    <w:rsid w:val="001A1FB2"/>
    <w:rsid w:val="001A2721"/>
    <w:rsid w:val="002C0C28"/>
    <w:rsid w:val="002F77ED"/>
    <w:rsid w:val="0031375E"/>
    <w:rsid w:val="00344C20"/>
    <w:rsid w:val="00366B2C"/>
    <w:rsid w:val="00381D4E"/>
    <w:rsid w:val="003A1876"/>
    <w:rsid w:val="00416C7D"/>
    <w:rsid w:val="00425876"/>
    <w:rsid w:val="00426432"/>
    <w:rsid w:val="004C0943"/>
    <w:rsid w:val="004E350A"/>
    <w:rsid w:val="005644B6"/>
    <w:rsid w:val="00585CBA"/>
    <w:rsid w:val="005F4B04"/>
    <w:rsid w:val="005F541D"/>
    <w:rsid w:val="00600E08"/>
    <w:rsid w:val="00613758"/>
    <w:rsid w:val="00661519"/>
    <w:rsid w:val="006F5622"/>
    <w:rsid w:val="00717205"/>
    <w:rsid w:val="00762EE9"/>
    <w:rsid w:val="00763E34"/>
    <w:rsid w:val="007B4558"/>
    <w:rsid w:val="00885CDE"/>
    <w:rsid w:val="00892DC7"/>
    <w:rsid w:val="008C689C"/>
    <w:rsid w:val="008E0521"/>
    <w:rsid w:val="00921FF7"/>
    <w:rsid w:val="00952E45"/>
    <w:rsid w:val="0095641B"/>
    <w:rsid w:val="009624D4"/>
    <w:rsid w:val="009A6245"/>
    <w:rsid w:val="00A611C4"/>
    <w:rsid w:val="00A85F3F"/>
    <w:rsid w:val="00B51E6F"/>
    <w:rsid w:val="00B6144A"/>
    <w:rsid w:val="00B72270"/>
    <w:rsid w:val="00BB081B"/>
    <w:rsid w:val="00BB0D19"/>
    <w:rsid w:val="00BB4CD1"/>
    <w:rsid w:val="00BF76AF"/>
    <w:rsid w:val="00C03641"/>
    <w:rsid w:val="00C43FA1"/>
    <w:rsid w:val="00CB04AF"/>
    <w:rsid w:val="00CE447A"/>
    <w:rsid w:val="00D24CE2"/>
    <w:rsid w:val="00D53496"/>
    <w:rsid w:val="00D84E45"/>
    <w:rsid w:val="00DB631E"/>
    <w:rsid w:val="00DE460F"/>
    <w:rsid w:val="00E04F1B"/>
    <w:rsid w:val="00E91986"/>
    <w:rsid w:val="00EA4094"/>
    <w:rsid w:val="00F57A9B"/>
    <w:rsid w:val="00F64104"/>
    <w:rsid w:val="00F94BC7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2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366B2C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C1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BB4CD1"/>
    <w:rPr>
      <w:b/>
      <w:bCs/>
    </w:rPr>
  </w:style>
  <w:style w:type="paragraph" w:styleId="Header">
    <w:name w:val="header"/>
    <w:basedOn w:val="Normal"/>
    <w:link w:val="HeaderChar"/>
    <w:uiPriority w:val="99"/>
    <w:rsid w:val="004C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943"/>
  </w:style>
  <w:style w:type="paragraph" w:styleId="Footer">
    <w:name w:val="footer"/>
    <w:basedOn w:val="Normal"/>
    <w:link w:val="FooterChar"/>
    <w:uiPriority w:val="99"/>
    <w:rsid w:val="004C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943"/>
  </w:style>
  <w:style w:type="paragraph" w:styleId="BalloonText">
    <w:name w:val="Balloon Text"/>
    <w:basedOn w:val="Normal"/>
    <w:link w:val="BalloonTextChar"/>
    <w:uiPriority w:val="99"/>
    <w:semiHidden/>
    <w:rsid w:val="008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955</Words>
  <Characters>5163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ΚΑΡΜΙΝΙΟ “ , το μέλλον της ως χρωστική για τρόφιμα ;</dc:title>
  <dc:subject/>
  <dc:creator>Administrator</dc:creator>
  <cp:keywords/>
  <dc:description/>
  <cp:lastModifiedBy>winxp</cp:lastModifiedBy>
  <cp:revision>2</cp:revision>
  <dcterms:created xsi:type="dcterms:W3CDTF">2013-08-02T09:25:00Z</dcterms:created>
  <dcterms:modified xsi:type="dcterms:W3CDTF">2013-08-02T09:25:00Z</dcterms:modified>
</cp:coreProperties>
</file>